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1278A" w:rsidRDefault="00AF0C63">
      <w:pPr>
        <w:pStyle w:val="Tekstpodstawowy"/>
        <w:spacing w:line="141" w:lineRule="exact"/>
        <w:ind w:left="100"/>
        <w:rPr>
          <w:rFonts w:ascii="Times New Roman"/>
          <w:i w:val="0"/>
          <w:sz w:val="14"/>
        </w:rPr>
      </w:pPr>
      <w:r>
        <w:rPr>
          <w:rFonts w:ascii="Times New Roman"/>
          <w:i w:val="0"/>
          <w:noProof/>
          <w:position w:val="-2"/>
          <w:sz w:val="14"/>
        </w:rPr>
        <w:drawing>
          <wp:inline distT="0" distB="0" distL="0" distR="0" wp14:anchorId="5FEFF5A3" wp14:editId="07777777">
            <wp:extent cx="964342" cy="899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4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1278A" w:rsidRDefault="0051278A">
      <w:pPr>
        <w:pStyle w:val="Tekstpodstawowy"/>
        <w:ind w:left="0"/>
        <w:rPr>
          <w:rFonts w:ascii="Times New Roman"/>
          <w:i w:val="0"/>
          <w:sz w:val="20"/>
        </w:rPr>
      </w:pPr>
    </w:p>
    <w:p w14:paraId="5DAB6C7B" w14:textId="77777777" w:rsidR="0051278A" w:rsidRDefault="0051278A">
      <w:pPr>
        <w:pStyle w:val="Tekstpodstawowy"/>
        <w:ind w:left="0"/>
        <w:rPr>
          <w:rFonts w:ascii="Times New Roman"/>
          <w:i w:val="0"/>
          <w:sz w:val="20"/>
        </w:rPr>
      </w:pPr>
    </w:p>
    <w:p w14:paraId="02EB378F" w14:textId="77777777" w:rsidR="0051278A" w:rsidRDefault="0051278A">
      <w:pPr>
        <w:pStyle w:val="Tekstpodstawowy"/>
        <w:spacing w:before="9"/>
        <w:ind w:left="0"/>
        <w:rPr>
          <w:rFonts w:ascii="Times New Roman"/>
          <w:i w:val="0"/>
          <w:sz w:val="20"/>
        </w:rPr>
      </w:pPr>
    </w:p>
    <w:p w14:paraId="6BB58A26" w14:textId="77777777" w:rsidR="0051278A" w:rsidRDefault="00AF0C63">
      <w:pPr>
        <w:pStyle w:val="Akapitzlist"/>
        <w:numPr>
          <w:ilvl w:val="0"/>
          <w:numId w:val="1"/>
        </w:numPr>
        <w:tabs>
          <w:tab w:val="left" w:pos="1097"/>
        </w:tabs>
        <w:spacing w:before="57"/>
        <w:ind w:right="158"/>
        <w:rPr>
          <w:i/>
        </w:rPr>
      </w:pPr>
      <w:r>
        <w:rPr>
          <w:i/>
        </w:rPr>
        <w:t>Firma Enbio Technology Sp. z o.o., ul. Sportowa 8 C, 81-300 Gdynia, REGON: 191317763, NIP:</w:t>
      </w:r>
      <w:r>
        <w:rPr>
          <w:i/>
          <w:spacing w:val="-47"/>
        </w:rPr>
        <w:t xml:space="preserve"> </w:t>
      </w:r>
      <w:r>
        <w:rPr>
          <w:i/>
        </w:rPr>
        <w:t>9580982035, zarejestrowana w sądzie rejonowym w Gdańsku XII Wydział Gospodarczy, pod</w:t>
      </w:r>
      <w:r>
        <w:rPr>
          <w:i/>
          <w:spacing w:val="1"/>
        </w:rPr>
        <w:t xml:space="preserve"> </w:t>
      </w:r>
      <w:r>
        <w:rPr>
          <w:i/>
        </w:rPr>
        <w:t xml:space="preserve">numerem KRS: 0000214555, zwana dalej </w:t>
      </w:r>
      <w:r>
        <w:rPr>
          <w:b/>
          <w:i/>
        </w:rPr>
        <w:t xml:space="preserve">Gwarantem </w:t>
      </w:r>
      <w:r>
        <w:rPr>
          <w:i/>
        </w:rPr>
        <w:t>udziela gwarancji na bezawaryjną</w:t>
      </w:r>
      <w:r>
        <w:rPr>
          <w:i/>
          <w:spacing w:val="1"/>
        </w:rPr>
        <w:t xml:space="preserve"> </w:t>
      </w:r>
      <w:r>
        <w:rPr>
          <w:i/>
        </w:rPr>
        <w:t>pracę urządzenia, przy jego eksploatacji zgodnie z zaleceniami zawartymi w Instrukcji Obsłu</w:t>
      </w:r>
      <w:r>
        <w:rPr>
          <w:i/>
        </w:rPr>
        <w:t>gi</w:t>
      </w:r>
      <w:r>
        <w:rPr>
          <w:i/>
          <w:spacing w:val="-47"/>
        </w:rPr>
        <w:t xml:space="preserve"> </w:t>
      </w:r>
      <w:r>
        <w:rPr>
          <w:i/>
        </w:rPr>
        <w:t>oraz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</w:rPr>
        <w:t>warunkach</w:t>
      </w:r>
      <w:r>
        <w:rPr>
          <w:i/>
          <w:spacing w:val="-1"/>
        </w:rPr>
        <w:t xml:space="preserve"> </w:t>
      </w:r>
      <w:r>
        <w:rPr>
          <w:i/>
        </w:rPr>
        <w:t>określonych</w:t>
      </w:r>
      <w:r>
        <w:rPr>
          <w:i/>
          <w:spacing w:val="-1"/>
        </w:rPr>
        <w:t xml:space="preserve"> </w:t>
      </w:r>
      <w:r>
        <w:rPr>
          <w:i/>
        </w:rPr>
        <w:t>poniżej.</w:t>
      </w:r>
    </w:p>
    <w:p w14:paraId="1D0C5914" w14:textId="77777777" w:rsidR="0051278A" w:rsidRDefault="00AF0C63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hanging="361"/>
        <w:rPr>
          <w:i/>
        </w:rPr>
      </w:pPr>
      <w:r>
        <w:rPr>
          <w:i/>
        </w:rPr>
        <w:t>Obowiązki</w:t>
      </w:r>
      <w:r>
        <w:rPr>
          <w:i/>
          <w:spacing w:val="-3"/>
        </w:rPr>
        <w:t xml:space="preserve"> </w:t>
      </w:r>
      <w:r>
        <w:rPr>
          <w:i/>
        </w:rPr>
        <w:t>gwarancyjne</w:t>
      </w:r>
      <w:r>
        <w:rPr>
          <w:i/>
          <w:spacing w:val="-3"/>
        </w:rPr>
        <w:t xml:space="preserve"> </w:t>
      </w:r>
      <w:r>
        <w:rPr>
          <w:i/>
        </w:rPr>
        <w:t>pełni</w:t>
      </w:r>
      <w:r>
        <w:rPr>
          <w:i/>
          <w:spacing w:val="-2"/>
        </w:rPr>
        <w:t xml:space="preserve"> </w:t>
      </w:r>
      <w:r>
        <w:rPr>
          <w:i/>
        </w:rPr>
        <w:t>Gwarant</w:t>
      </w:r>
      <w:r>
        <w:rPr>
          <w:i/>
          <w:spacing w:val="-3"/>
        </w:rPr>
        <w:t xml:space="preserve"> </w:t>
      </w:r>
      <w:r>
        <w:rPr>
          <w:i/>
        </w:rPr>
        <w:t>lub</w:t>
      </w:r>
      <w:r>
        <w:rPr>
          <w:i/>
          <w:spacing w:val="-5"/>
        </w:rPr>
        <w:t xml:space="preserve"> </w:t>
      </w:r>
      <w:r>
        <w:rPr>
          <w:i/>
        </w:rPr>
        <w:t>serwis</w:t>
      </w:r>
      <w:r>
        <w:rPr>
          <w:i/>
          <w:spacing w:val="-5"/>
        </w:rPr>
        <w:t xml:space="preserve"> </w:t>
      </w:r>
      <w:r>
        <w:rPr>
          <w:i/>
        </w:rPr>
        <w:t>przez</w:t>
      </w:r>
      <w:r>
        <w:rPr>
          <w:i/>
          <w:spacing w:val="-5"/>
        </w:rPr>
        <w:t xml:space="preserve"> </w:t>
      </w:r>
      <w:r>
        <w:rPr>
          <w:i/>
        </w:rPr>
        <w:t>niego</w:t>
      </w:r>
      <w:r>
        <w:rPr>
          <w:i/>
          <w:spacing w:val="-3"/>
        </w:rPr>
        <w:t xml:space="preserve"> </w:t>
      </w:r>
      <w:r>
        <w:rPr>
          <w:i/>
        </w:rPr>
        <w:t>wyznaczony.</w:t>
      </w:r>
    </w:p>
    <w:p w14:paraId="5293D7DE" w14:textId="77777777" w:rsidR="0051278A" w:rsidRDefault="00AF0C63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hanging="361"/>
        <w:rPr>
          <w:i/>
        </w:rPr>
      </w:pPr>
      <w:r>
        <w:rPr>
          <w:i/>
        </w:rPr>
        <w:t>Okres</w:t>
      </w:r>
      <w:r>
        <w:rPr>
          <w:i/>
          <w:spacing w:val="-6"/>
        </w:rPr>
        <w:t xml:space="preserve"> </w:t>
      </w:r>
      <w:r>
        <w:rPr>
          <w:i/>
        </w:rPr>
        <w:t>gwarancji</w:t>
      </w:r>
      <w:r>
        <w:rPr>
          <w:i/>
          <w:spacing w:val="-4"/>
        </w:rPr>
        <w:t xml:space="preserve"> </w:t>
      </w:r>
      <w:r>
        <w:rPr>
          <w:i/>
        </w:rPr>
        <w:t>wynosi</w:t>
      </w:r>
      <w:r>
        <w:rPr>
          <w:i/>
          <w:spacing w:val="-3"/>
        </w:rPr>
        <w:t xml:space="preserve"> </w:t>
      </w:r>
      <w:r>
        <w:rPr>
          <w:i/>
        </w:rPr>
        <w:t>odpowiednio:</w:t>
      </w:r>
    </w:p>
    <w:p w14:paraId="604A9A26" w14:textId="77777777" w:rsidR="0051278A" w:rsidRDefault="00AF0C63">
      <w:pPr>
        <w:pStyle w:val="Akapitzlist"/>
        <w:numPr>
          <w:ilvl w:val="1"/>
          <w:numId w:val="1"/>
        </w:numPr>
        <w:tabs>
          <w:tab w:val="left" w:pos="1217"/>
        </w:tabs>
        <w:spacing w:before="2" w:line="237" w:lineRule="auto"/>
        <w:ind w:right="529"/>
        <w:rPr>
          <w:i/>
        </w:rPr>
      </w:pPr>
      <w:r>
        <w:rPr>
          <w:i/>
        </w:rPr>
        <w:t>24 miesiące lub 4.000 cykli sterylizacyjnych od daty sprzedaży – w zależności od tego, co</w:t>
      </w:r>
      <w:r>
        <w:rPr>
          <w:i/>
          <w:spacing w:val="-47"/>
        </w:rPr>
        <w:t xml:space="preserve"> </w:t>
      </w:r>
      <w:r>
        <w:rPr>
          <w:i/>
        </w:rPr>
        <w:t>upłynie</w:t>
      </w:r>
      <w:r>
        <w:rPr>
          <w:i/>
          <w:spacing w:val="-1"/>
        </w:rPr>
        <w:t xml:space="preserve"> </w:t>
      </w:r>
      <w:r>
        <w:rPr>
          <w:i/>
        </w:rPr>
        <w:t>wcześniej</w:t>
      </w:r>
      <w:r>
        <w:rPr>
          <w:i/>
          <w:spacing w:val="-4"/>
        </w:rPr>
        <w:t xml:space="preserve"> </w:t>
      </w:r>
      <w:r>
        <w:rPr>
          <w:i/>
        </w:rPr>
        <w:t>– dla</w:t>
      </w:r>
      <w:r>
        <w:rPr>
          <w:i/>
          <w:spacing w:val="-1"/>
        </w:rPr>
        <w:t xml:space="preserve"> </w:t>
      </w:r>
      <w:r>
        <w:rPr>
          <w:i/>
        </w:rPr>
        <w:t>urządzeń</w:t>
      </w:r>
      <w:r>
        <w:rPr>
          <w:i/>
          <w:spacing w:val="-1"/>
        </w:rPr>
        <w:t xml:space="preserve"> </w:t>
      </w:r>
      <w:r>
        <w:rPr>
          <w:i/>
        </w:rPr>
        <w:t>użytkowanych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krajach</w:t>
      </w:r>
      <w:r>
        <w:rPr>
          <w:i/>
          <w:spacing w:val="-3"/>
        </w:rPr>
        <w:t xml:space="preserve"> </w:t>
      </w:r>
      <w:r>
        <w:rPr>
          <w:i/>
        </w:rPr>
        <w:t>Europejskich;</w:t>
      </w:r>
    </w:p>
    <w:p w14:paraId="3DB85254" w14:textId="77777777" w:rsidR="0051278A" w:rsidRDefault="00AF0C63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right="662"/>
        <w:rPr>
          <w:i/>
        </w:rPr>
      </w:pPr>
      <w:r>
        <w:rPr>
          <w:i/>
        </w:rPr>
        <w:t>Wyposażenie,</w:t>
      </w:r>
      <w:r>
        <w:rPr>
          <w:i/>
        </w:rPr>
        <w:t xml:space="preserve"> elementy i/lub przedmioty dodatkowe dostarczone przez Gwaranta, nie</w:t>
      </w:r>
      <w:r>
        <w:rPr>
          <w:i/>
          <w:spacing w:val="1"/>
        </w:rPr>
        <w:t xml:space="preserve"> </w:t>
      </w:r>
      <w:r>
        <w:rPr>
          <w:i/>
        </w:rPr>
        <w:t>stanowiące</w:t>
      </w:r>
      <w:r>
        <w:rPr>
          <w:i/>
          <w:spacing w:val="-4"/>
        </w:rPr>
        <w:t xml:space="preserve"> </w:t>
      </w:r>
      <w:r>
        <w:rPr>
          <w:i/>
        </w:rPr>
        <w:t>integralnej</w:t>
      </w:r>
      <w:r>
        <w:rPr>
          <w:i/>
          <w:spacing w:val="-3"/>
        </w:rPr>
        <w:t xml:space="preserve"> </w:t>
      </w:r>
      <w:r>
        <w:rPr>
          <w:i/>
        </w:rPr>
        <w:t>części</w:t>
      </w:r>
      <w:r>
        <w:rPr>
          <w:i/>
          <w:spacing w:val="-4"/>
        </w:rPr>
        <w:t xml:space="preserve"> </w:t>
      </w:r>
      <w:r>
        <w:rPr>
          <w:i/>
        </w:rPr>
        <w:t>urządzenia</w:t>
      </w:r>
      <w:r>
        <w:rPr>
          <w:i/>
          <w:spacing w:val="-4"/>
        </w:rPr>
        <w:t xml:space="preserve"> </w:t>
      </w:r>
      <w:r>
        <w:rPr>
          <w:i/>
        </w:rPr>
        <w:t>podlegają</w:t>
      </w:r>
      <w:r>
        <w:rPr>
          <w:i/>
          <w:spacing w:val="-5"/>
        </w:rPr>
        <w:t xml:space="preserve"> </w:t>
      </w:r>
      <w:r>
        <w:rPr>
          <w:i/>
        </w:rPr>
        <w:t>gwarancji</w:t>
      </w:r>
      <w:r>
        <w:rPr>
          <w:i/>
          <w:spacing w:val="-4"/>
        </w:rPr>
        <w:t xml:space="preserve"> </w:t>
      </w:r>
      <w:r>
        <w:rPr>
          <w:i/>
        </w:rPr>
        <w:t>producenta</w:t>
      </w:r>
      <w:r>
        <w:rPr>
          <w:i/>
          <w:spacing w:val="-3"/>
        </w:rPr>
        <w:t xml:space="preserve"> </w:t>
      </w:r>
      <w:r>
        <w:rPr>
          <w:i/>
        </w:rPr>
        <w:t>wyposażenia,</w:t>
      </w:r>
    </w:p>
    <w:p w14:paraId="1EBD6C6A" w14:textId="77777777" w:rsidR="0051278A" w:rsidRDefault="00AF0C63">
      <w:pPr>
        <w:pStyle w:val="Tekstpodstawowy"/>
        <w:spacing w:before="1" w:line="267" w:lineRule="exact"/>
        <w:ind w:left="0" w:right="456"/>
        <w:jc w:val="right"/>
      </w:pPr>
      <w:r>
        <w:t>elementów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przedmiotów,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taka</w:t>
      </w:r>
      <w:r>
        <w:rPr>
          <w:spacing w:val="-2"/>
        </w:rPr>
        <w:t xml:space="preserve"> </w:t>
      </w:r>
      <w:r>
        <w:t>gwarancja</w:t>
      </w:r>
      <w:r>
        <w:rPr>
          <w:spacing w:val="-3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udzielona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producenta.</w:t>
      </w:r>
    </w:p>
    <w:p w14:paraId="1B915432" w14:textId="77777777" w:rsidR="0051278A" w:rsidRDefault="16930B19" w:rsidP="16930B19">
      <w:pPr>
        <w:tabs>
          <w:tab w:val="left" w:pos="1097"/>
        </w:tabs>
        <w:spacing w:line="267" w:lineRule="exact"/>
        <w:ind w:left="376" w:right="388"/>
        <w:jc w:val="right"/>
        <w:rPr>
          <w:i/>
          <w:iCs/>
        </w:rPr>
      </w:pPr>
      <w:r w:rsidRPr="16930B19">
        <w:rPr>
          <w:i/>
          <w:iCs/>
        </w:rPr>
        <w:t>5. Gwarant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udziela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gwarancji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usterki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powstałe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z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winy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producenta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dotyczących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konstrukcji,</w:t>
      </w:r>
    </w:p>
    <w:p w14:paraId="06866349" w14:textId="77777777" w:rsidR="0051278A" w:rsidRDefault="00AF0C63">
      <w:pPr>
        <w:pStyle w:val="Tekstpodstawowy"/>
        <w:ind w:right="164"/>
      </w:pPr>
      <w:r>
        <w:t>wad użytych materiałów i części, błędów wykonawstwa i montażu fabrycznego, oraz kosztów</w:t>
      </w:r>
      <w:r>
        <w:rPr>
          <w:spacing w:val="-47"/>
        </w:rPr>
        <w:t xml:space="preserve"> </w:t>
      </w:r>
      <w:r>
        <w:t>naprawy, dostawy i wymiany tych części, sprowadzenia części lub podzespołów od</w:t>
      </w:r>
      <w:r>
        <w:rPr>
          <w:spacing w:val="1"/>
        </w:rPr>
        <w:t xml:space="preserve"> </w:t>
      </w:r>
      <w:r>
        <w:t>poddostawcy.</w:t>
      </w:r>
    </w:p>
    <w:p w14:paraId="72F6ECC5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hanging="361"/>
        <w:rPr>
          <w:i/>
        </w:rPr>
      </w:pPr>
      <w:r w:rsidRPr="16930B19">
        <w:rPr>
          <w:i/>
          <w:iCs/>
        </w:rPr>
        <w:t>Sposób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wykonania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gwarancji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(wymiana,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naprawa)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należy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do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wyłącznej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decyzji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Gwaranta.</w:t>
      </w:r>
    </w:p>
    <w:p w14:paraId="28385B6C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ind w:hanging="361"/>
        <w:rPr>
          <w:i/>
        </w:rPr>
      </w:pPr>
      <w:r w:rsidRPr="16930B19">
        <w:rPr>
          <w:i/>
          <w:iCs/>
        </w:rPr>
        <w:t>Wymienione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części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urządzenia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zgłoszonego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gwarancji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przechodzą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własność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Gwaranta.</w:t>
      </w:r>
    </w:p>
    <w:p w14:paraId="440BAF11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ind w:right="346"/>
        <w:rPr>
          <w:i/>
        </w:rPr>
      </w:pPr>
      <w:r w:rsidRPr="16930B19">
        <w:rPr>
          <w:i/>
          <w:iCs/>
        </w:rPr>
        <w:t>Orzeczenie pracownika Gwaranta, odnośnie przyczyn i winnego powstania uszkodzenia jest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wiążące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dla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Użytkownika.</w:t>
      </w:r>
    </w:p>
    <w:p w14:paraId="10CA971F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right="207"/>
        <w:rPr>
          <w:i/>
        </w:rPr>
      </w:pPr>
      <w:r w:rsidRPr="16930B19">
        <w:rPr>
          <w:i/>
          <w:iCs/>
        </w:rPr>
        <w:t>Użytkownik ma prawo do przedstawienia w ciągu 14 dni odmiennej oceny wystawionej przez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kwalifikowanego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rzeczoznawcę.</w:t>
      </w:r>
    </w:p>
    <w:p w14:paraId="643D6ED2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line="267" w:lineRule="exact"/>
        <w:ind w:hanging="361"/>
        <w:rPr>
          <w:i/>
        </w:rPr>
      </w:pPr>
      <w:r w:rsidRPr="16930B19">
        <w:rPr>
          <w:i/>
          <w:iCs/>
        </w:rPr>
        <w:t>Po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zakończeniu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okresu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gwarancyjnego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odpowiedzialność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gwaranta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przewidziana</w:t>
      </w:r>
      <w:r w:rsidRPr="16930B19">
        <w:rPr>
          <w:i/>
          <w:iCs/>
          <w:spacing w:val="-6"/>
        </w:rPr>
        <w:t xml:space="preserve"> </w:t>
      </w:r>
      <w:r w:rsidRPr="16930B19">
        <w:rPr>
          <w:i/>
          <w:iCs/>
        </w:rPr>
        <w:t>w</w:t>
      </w:r>
    </w:p>
    <w:p w14:paraId="1A469B36" w14:textId="77777777" w:rsidR="0051278A" w:rsidRDefault="00AF0C63">
      <w:pPr>
        <w:pStyle w:val="Tekstpodstawowy"/>
      </w:pPr>
      <w:r>
        <w:t>niniejszym</w:t>
      </w:r>
      <w:r>
        <w:rPr>
          <w:spacing w:val="-2"/>
        </w:rPr>
        <w:t xml:space="preserve"> </w:t>
      </w:r>
      <w:r>
        <w:t>dokumencie</w:t>
      </w:r>
      <w:r>
        <w:rPr>
          <w:spacing w:val="-3"/>
        </w:rPr>
        <w:t xml:space="preserve"> </w:t>
      </w:r>
      <w:r>
        <w:t>wygasa.</w:t>
      </w:r>
    </w:p>
    <w:p w14:paraId="2219051A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right="370"/>
        <w:rPr>
          <w:i/>
        </w:rPr>
      </w:pPr>
      <w:r w:rsidRPr="16930B19">
        <w:rPr>
          <w:i/>
          <w:iCs/>
        </w:rPr>
        <w:t>Gwarant w żadnym wypadku nie ponosi odpowiedzialności za uszkodzenia i nieprawidłową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pracę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urządzenia, które powstały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wyniku:</w:t>
      </w:r>
    </w:p>
    <w:p w14:paraId="17A78494" w14:textId="77777777" w:rsidR="0051278A" w:rsidRDefault="16930B19">
      <w:pPr>
        <w:pStyle w:val="Akapitzlist"/>
        <w:numPr>
          <w:ilvl w:val="1"/>
          <w:numId w:val="1"/>
        </w:numPr>
        <w:tabs>
          <w:tab w:val="left" w:pos="1217"/>
        </w:tabs>
        <w:ind w:hanging="481"/>
        <w:rPr>
          <w:i/>
        </w:rPr>
      </w:pPr>
      <w:r w:rsidRPr="16930B19">
        <w:rPr>
          <w:i/>
          <w:iCs/>
        </w:rPr>
        <w:t>błędu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w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obsłudze,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nieprawidłowej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konserwacji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lub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eksploatacji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niezgodnej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z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wytycznymi</w:t>
      </w:r>
    </w:p>
    <w:p w14:paraId="6BA11455" w14:textId="77777777" w:rsidR="0051278A" w:rsidRDefault="00AF0C63">
      <w:pPr>
        <w:pStyle w:val="Tekstpodstawowy"/>
        <w:ind w:left="1216"/>
      </w:pPr>
      <w:r>
        <w:t>zawartymi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Instrukcji</w:t>
      </w:r>
      <w:r>
        <w:rPr>
          <w:spacing w:val="-3"/>
        </w:rPr>
        <w:t xml:space="preserve"> </w:t>
      </w:r>
      <w:r>
        <w:t>Obsługi,</w:t>
      </w:r>
    </w:p>
    <w:p w14:paraId="02E31D17" w14:textId="77777777" w:rsidR="0051278A" w:rsidRDefault="16930B19">
      <w:pPr>
        <w:pStyle w:val="Akapitzlist"/>
        <w:numPr>
          <w:ilvl w:val="1"/>
          <w:numId w:val="1"/>
        </w:numPr>
        <w:tabs>
          <w:tab w:val="left" w:pos="1217"/>
        </w:tabs>
        <w:spacing w:before="1"/>
        <w:ind w:right="549"/>
        <w:rPr>
          <w:i/>
        </w:rPr>
      </w:pPr>
      <w:r w:rsidRPr="16930B19">
        <w:rPr>
          <w:i/>
          <w:iCs/>
        </w:rPr>
        <w:t>przez nieprawidłową eksploatację rozumie się w szczególności stosowanie w urządzeniu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wody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o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parametrach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niezgodnych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z wytycznymi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zawartymi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 Instrukcji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Obsługi,</w:t>
      </w:r>
    </w:p>
    <w:p w14:paraId="7F874E4F" w14:textId="77777777" w:rsidR="0051278A" w:rsidRDefault="16930B19">
      <w:pPr>
        <w:pStyle w:val="Akapitzlist"/>
        <w:numPr>
          <w:ilvl w:val="1"/>
          <w:numId w:val="1"/>
        </w:numPr>
        <w:tabs>
          <w:tab w:val="left" w:pos="1217"/>
        </w:tabs>
        <w:ind w:hanging="481"/>
        <w:rPr>
          <w:i/>
        </w:rPr>
      </w:pPr>
      <w:r w:rsidRPr="16930B19">
        <w:rPr>
          <w:i/>
          <w:iCs/>
        </w:rPr>
        <w:t>dokonania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modyfikacji,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przeróbek,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naprawy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lub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wymiany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części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we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własnym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zakresie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bez</w:t>
      </w:r>
    </w:p>
    <w:p w14:paraId="4A9C3813" w14:textId="77777777" w:rsidR="0051278A" w:rsidRDefault="00AF0C63">
      <w:pPr>
        <w:pStyle w:val="Tekstpodstawowy"/>
        <w:spacing w:line="267" w:lineRule="exact"/>
        <w:ind w:left="1216"/>
      </w:pPr>
      <w:r>
        <w:t>zgody</w:t>
      </w:r>
      <w:r>
        <w:rPr>
          <w:spacing w:val="-2"/>
        </w:rPr>
        <w:t xml:space="preserve"> </w:t>
      </w:r>
      <w:r>
        <w:t>Gwaranta,</w:t>
      </w:r>
      <w:r>
        <w:rPr>
          <w:spacing w:val="-2"/>
        </w:rPr>
        <w:t xml:space="preserve"> </w:t>
      </w:r>
      <w:r>
        <w:t>udzielonej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udokumentowanej.</w:t>
      </w:r>
    </w:p>
    <w:p w14:paraId="503A1114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line="267" w:lineRule="exact"/>
        <w:ind w:hanging="361"/>
        <w:rPr>
          <w:i/>
        </w:rPr>
      </w:pPr>
      <w:r w:rsidRPr="16930B19">
        <w:rPr>
          <w:i/>
          <w:iCs/>
        </w:rPr>
        <w:t>W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przypadku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stwierdzenia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przez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Gwaranta:</w:t>
      </w:r>
    </w:p>
    <w:p w14:paraId="5E42FBB1" w14:textId="77777777" w:rsidR="0051278A" w:rsidRDefault="16930B19">
      <w:pPr>
        <w:pStyle w:val="Akapitzlist"/>
        <w:numPr>
          <w:ilvl w:val="1"/>
          <w:numId w:val="1"/>
        </w:numPr>
        <w:tabs>
          <w:tab w:val="left" w:pos="1217"/>
        </w:tabs>
        <w:spacing w:before="1"/>
        <w:ind w:hanging="481"/>
        <w:rPr>
          <w:i/>
        </w:rPr>
      </w:pPr>
      <w:r w:rsidRPr="16930B19">
        <w:rPr>
          <w:i/>
          <w:iCs/>
        </w:rPr>
        <w:t>stosowania</w:t>
      </w:r>
      <w:r w:rsidRPr="16930B19">
        <w:rPr>
          <w:i/>
          <w:iCs/>
          <w:spacing w:val="-6"/>
        </w:rPr>
        <w:t xml:space="preserve"> </w:t>
      </w:r>
      <w:r w:rsidRPr="16930B19">
        <w:rPr>
          <w:i/>
          <w:iCs/>
        </w:rPr>
        <w:t>w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urządzeniu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wody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o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parametrach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niezgodnych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z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wytycznymi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zawartymi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</w:t>
      </w:r>
    </w:p>
    <w:p w14:paraId="3565F441" w14:textId="77777777" w:rsidR="0051278A" w:rsidRDefault="00AF0C63">
      <w:pPr>
        <w:pStyle w:val="Tekstpodstawowy"/>
        <w:ind w:left="1216"/>
      </w:pPr>
      <w:r>
        <w:t>Instrukcji</w:t>
      </w:r>
      <w:r>
        <w:rPr>
          <w:spacing w:val="-3"/>
        </w:rPr>
        <w:t xml:space="preserve"> </w:t>
      </w:r>
      <w:r>
        <w:t>Obsługi</w:t>
      </w:r>
      <w:r>
        <w:rPr>
          <w:spacing w:val="-2"/>
        </w:rPr>
        <w:t xml:space="preserve"> </w:t>
      </w:r>
      <w:r>
        <w:t>(patrz</w:t>
      </w:r>
      <w:r>
        <w:rPr>
          <w:spacing w:val="-3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7.1),</w:t>
      </w:r>
    </w:p>
    <w:p w14:paraId="7313066B" w14:textId="77777777" w:rsidR="0051278A" w:rsidRDefault="16930B19">
      <w:pPr>
        <w:pStyle w:val="Akapitzlist"/>
        <w:numPr>
          <w:ilvl w:val="1"/>
          <w:numId w:val="1"/>
        </w:numPr>
        <w:tabs>
          <w:tab w:val="left" w:pos="1217"/>
        </w:tabs>
        <w:ind w:hanging="481"/>
        <w:rPr>
          <w:i/>
        </w:rPr>
      </w:pPr>
      <w:r w:rsidRPr="16930B19">
        <w:rPr>
          <w:i/>
          <w:iCs/>
        </w:rPr>
        <w:t>usunięcia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lub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uszkodzenia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naklejki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gwarancyjnej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obudowie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urządzenia,</w:t>
      </w:r>
    </w:p>
    <w:p w14:paraId="6F4DF111" w14:textId="77777777" w:rsidR="0051278A" w:rsidRDefault="00AF0C63">
      <w:pPr>
        <w:pStyle w:val="Tekstpodstawowy"/>
      </w:pPr>
      <w:r>
        <w:t>Gwarant</w:t>
      </w:r>
      <w:r>
        <w:rPr>
          <w:spacing w:val="-5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odmówić</w:t>
      </w:r>
      <w:r>
        <w:rPr>
          <w:spacing w:val="-3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gwarancyjnych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niniejsze</w:t>
      </w:r>
      <w:r>
        <w:rPr>
          <w:spacing w:val="-3"/>
        </w:rPr>
        <w:t xml:space="preserve"> </w:t>
      </w:r>
      <w:r>
        <w:t>oświadczenie</w:t>
      </w:r>
    </w:p>
    <w:p w14:paraId="0C2256BF" w14:textId="77777777" w:rsidR="0051278A" w:rsidRDefault="00AF0C63">
      <w:pPr>
        <w:pStyle w:val="Tekstpodstawowy"/>
        <w:spacing w:before="1"/>
      </w:pPr>
      <w:r>
        <w:t>gwarancyjne.</w:t>
      </w:r>
    </w:p>
    <w:p w14:paraId="1804872C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ind w:right="239"/>
        <w:rPr>
          <w:i/>
        </w:rPr>
      </w:pPr>
      <w:r w:rsidRPr="16930B19">
        <w:rPr>
          <w:i/>
          <w:iCs/>
        </w:rPr>
        <w:t>Gwarancja nie obejmuje części ulegających normalnemu zużyciu w trakcie użytkowania i/lub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materiałów eksploatacyjnych.</w:t>
      </w:r>
    </w:p>
    <w:p w14:paraId="171D6ABA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right="292"/>
        <w:rPr>
          <w:i/>
        </w:rPr>
      </w:pPr>
      <w:r w:rsidRPr="16930B19">
        <w:rPr>
          <w:i/>
          <w:iCs/>
        </w:rPr>
        <w:t>Gwarancja nie obejmuje strat spowodowanych postojami urządzenia w okresie oczekiwania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naprawę gwarancyjną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oraz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szkód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majątkowych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tj.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strat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pośrednich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i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bezpośrednich.</w:t>
      </w:r>
    </w:p>
    <w:p w14:paraId="7333AB53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line="267" w:lineRule="exact"/>
        <w:ind w:hanging="361"/>
        <w:rPr>
          <w:i/>
        </w:rPr>
      </w:pPr>
      <w:r w:rsidRPr="16930B19">
        <w:rPr>
          <w:i/>
          <w:iCs/>
        </w:rPr>
        <w:t>Dokumentem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uprawniającym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do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świadczenia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gwarancyjnego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jest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dokument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sprzedaży,</w:t>
      </w:r>
    </w:p>
    <w:p w14:paraId="7C838377" w14:textId="77777777" w:rsidR="0051278A" w:rsidRDefault="00AF0C63">
      <w:pPr>
        <w:pStyle w:val="Tekstpodstawowy"/>
      </w:pPr>
      <w:r>
        <w:t>wskazany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gwarancji.</w:t>
      </w:r>
    </w:p>
    <w:p w14:paraId="77F14D1D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ind w:hanging="361"/>
        <w:rPr>
          <w:i/>
        </w:rPr>
      </w:pPr>
      <w:r w:rsidRPr="16930B19">
        <w:rPr>
          <w:i/>
          <w:iCs/>
        </w:rPr>
        <w:t>Aktualna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lista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autoryzowanych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serwisów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Enbio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umieszczona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jest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stronie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internetowej</w:t>
      </w:r>
    </w:p>
    <w:p w14:paraId="11057501" w14:textId="77777777" w:rsidR="0051278A" w:rsidRDefault="00AF0C63">
      <w:pPr>
        <w:pStyle w:val="Tekstpodstawowy"/>
        <w:spacing w:before="1"/>
      </w:pPr>
      <w:hyperlink r:id="rId6">
        <w:r>
          <w:rPr>
            <w:u w:val="single"/>
          </w:rPr>
          <w:t>www.enbio.com</w:t>
        </w:r>
        <w:r>
          <w:rPr>
            <w:spacing w:val="-4"/>
          </w:rPr>
          <w:t xml:space="preserve"> </w:t>
        </w:r>
      </w:hyperlink>
      <w:r>
        <w:t>zakładka</w:t>
      </w:r>
      <w:r>
        <w:rPr>
          <w:spacing w:val="-4"/>
        </w:rPr>
        <w:t xml:space="preserve"> </w:t>
      </w:r>
      <w:r>
        <w:t>WSPARCIE.</w:t>
      </w:r>
    </w:p>
    <w:p w14:paraId="6A05A809" w14:textId="77777777" w:rsidR="0051278A" w:rsidRDefault="0051278A">
      <w:pPr>
        <w:sectPr w:rsidR="0051278A">
          <w:type w:val="continuous"/>
          <w:pgSz w:w="11910" w:h="16840"/>
          <w:pgMar w:top="500" w:right="1300" w:bottom="280" w:left="1040" w:header="708" w:footer="708" w:gutter="0"/>
          <w:cols w:space="708"/>
        </w:sectPr>
      </w:pPr>
    </w:p>
    <w:p w14:paraId="5A39BBE3" w14:textId="77777777" w:rsidR="0051278A" w:rsidRDefault="00AF0C63">
      <w:pPr>
        <w:pStyle w:val="Tekstpodstawowy"/>
        <w:spacing w:line="141" w:lineRule="exact"/>
        <w:ind w:left="130"/>
        <w:rPr>
          <w:i w:val="0"/>
          <w:sz w:val="14"/>
        </w:rPr>
      </w:pPr>
      <w:r>
        <w:rPr>
          <w:i w:val="0"/>
          <w:noProof/>
          <w:position w:val="-2"/>
          <w:sz w:val="14"/>
        </w:rPr>
        <w:lastRenderedPageBreak/>
        <w:drawing>
          <wp:inline distT="0" distB="0" distL="0" distR="0" wp14:anchorId="2439476C" wp14:editId="07777777">
            <wp:extent cx="1008352" cy="8991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5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51278A" w:rsidRDefault="0051278A">
      <w:pPr>
        <w:pStyle w:val="Tekstpodstawowy"/>
        <w:ind w:left="0"/>
        <w:rPr>
          <w:sz w:val="20"/>
        </w:rPr>
      </w:pPr>
    </w:p>
    <w:p w14:paraId="72A3D3EC" w14:textId="77777777" w:rsidR="0051278A" w:rsidRDefault="0051278A">
      <w:pPr>
        <w:pStyle w:val="Tekstpodstawowy"/>
        <w:spacing w:before="10"/>
        <w:ind w:left="0"/>
        <w:rPr>
          <w:sz w:val="25"/>
        </w:rPr>
      </w:pPr>
    </w:p>
    <w:p w14:paraId="35389570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before="56"/>
        <w:ind w:hanging="361"/>
        <w:jc w:val="both"/>
        <w:rPr>
          <w:i/>
        </w:rPr>
      </w:pPr>
      <w:r w:rsidRPr="16930B19">
        <w:rPr>
          <w:i/>
          <w:iCs/>
        </w:rPr>
        <w:t>Zmiana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danych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kontaktowych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wskazanych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powyżej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aktualizowana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jest</w:t>
      </w:r>
      <w:r w:rsidRPr="16930B19">
        <w:rPr>
          <w:i/>
          <w:iCs/>
          <w:spacing w:val="-5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stronie</w:t>
      </w:r>
    </w:p>
    <w:p w14:paraId="28D01183" w14:textId="77777777" w:rsidR="0051278A" w:rsidRDefault="00AF0C63">
      <w:pPr>
        <w:pStyle w:val="Tekstpodstawowy"/>
        <w:spacing w:before="1"/>
        <w:jc w:val="both"/>
      </w:pPr>
      <w:r>
        <w:t>internetowej</w:t>
      </w:r>
      <w:r>
        <w:rPr>
          <w:spacing w:val="-3"/>
        </w:rPr>
        <w:t xml:space="preserve"> </w:t>
      </w:r>
      <w:r>
        <w:t>Gwaranta:</w:t>
      </w:r>
      <w:r>
        <w:rPr>
          <w:spacing w:val="-1"/>
        </w:rPr>
        <w:t xml:space="preserve"> </w:t>
      </w:r>
      <w:hyperlink r:id="rId7">
        <w:r>
          <w:rPr>
            <w:u w:val="single"/>
          </w:rPr>
          <w:t>www.enbio.com</w:t>
        </w:r>
      </w:hyperlink>
      <w:r>
        <w:t>.</w:t>
      </w:r>
    </w:p>
    <w:p w14:paraId="33613375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ind w:hanging="361"/>
        <w:jc w:val="both"/>
        <w:rPr>
          <w:i/>
        </w:rPr>
      </w:pPr>
      <w:r w:rsidRPr="16930B19">
        <w:rPr>
          <w:i/>
          <w:iCs/>
        </w:rPr>
        <w:t>Wszelkie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koszty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wynikające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z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powodu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nieuzasadnionej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reklamacji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ponosi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zgłaszający.</w:t>
      </w:r>
    </w:p>
    <w:p w14:paraId="6A9019E2" w14:textId="77777777" w:rsidR="0051278A" w:rsidRDefault="00AF0C63">
      <w:pPr>
        <w:pStyle w:val="Tekstpodstawowy"/>
        <w:ind w:right="295"/>
        <w:jc w:val="both"/>
      </w:pPr>
      <w:r>
        <w:t>Gwarant ma prawo odmówić wykonania czynności gwarancyjnych lub obsługi w przypa</w:t>
      </w:r>
      <w:r>
        <w:t>dku,</w:t>
      </w:r>
      <w:r>
        <w:rPr>
          <w:spacing w:val="-47"/>
        </w:rPr>
        <w:t xml:space="preserve"> </w:t>
      </w:r>
      <w:r>
        <w:t>gdy kupujący wstrzymuje się z uregulowaniem płatności za zakup urządzenia lub inne usługi</w:t>
      </w:r>
      <w:r>
        <w:rPr>
          <w:spacing w:val="-47"/>
        </w:rPr>
        <w:t xml:space="preserve"> </w:t>
      </w:r>
      <w:r>
        <w:t>świadczone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Gwaranta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rzecz</w:t>
      </w:r>
      <w:r>
        <w:rPr>
          <w:spacing w:val="-2"/>
        </w:rPr>
        <w:t xml:space="preserve"> </w:t>
      </w:r>
      <w:r>
        <w:t>zgłaszającego.</w:t>
      </w:r>
    </w:p>
    <w:p w14:paraId="4F44D92A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spacing w:before="1"/>
        <w:ind w:right="130"/>
        <w:rPr>
          <w:i/>
        </w:rPr>
      </w:pPr>
      <w:r w:rsidRPr="16930B19">
        <w:rPr>
          <w:i/>
          <w:iCs/>
        </w:rPr>
        <w:t>W celu zapewnienia poprawnej pracy urządzenia, użytkownik ma obowiązek wykonywać jego</w:t>
      </w:r>
      <w:r w:rsidRPr="16930B19">
        <w:rPr>
          <w:i/>
          <w:iCs/>
          <w:spacing w:val="-47"/>
        </w:rPr>
        <w:t xml:space="preserve"> </w:t>
      </w:r>
      <w:r w:rsidRPr="16930B19">
        <w:rPr>
          <w:i/>
          <w:iCs/>
        </w:rPr>
        <w:t>przeglądy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serwisowe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wg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następującej częstotliwości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–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raz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na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rok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lub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co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każde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1.500</w:t>
      </w:r>
      <w:r w:rsidRPr="16930B19">
        <w:rPr>
          <w:i/>
          <w:iCs/>
          <w:spacing w:val="-1"/>
        </w:rPr>
        <w:t xml:space="preserve"> </w:t>
      </w:r>
      <w:r w:rsidRPr="16930B19">
        <w:rPr>
          <w:i/>
          <w:iCs/>
        </w:rPr>
        <w:t>procesów</w:t>
      </w:r>
    </w:p>
    <w:p w14:paraId="0743DE16" w14:textId="77777777" w:rsidR="0051278A" w:rsidRDefault="00AF0C63">
      <w:pPr>
        <w:pStyle w:val="Tekstpodstawowy"/>
        <w:ind w:right="125"/>
      </w:pPr>
      <w:r>
        <w:t>– w zależności od tego, co nastąpi pierwsze. Przeglądy należy wykonywać tylko i wyłącznie w</w:t>
      </w:r>
      <w:r>
        <w:rPr>
          <w:spacing w:val="1"/>
        </w:rPr>
        <w:t xml:space="preserve"> </w:t>
      </w:r>
      <w:r>
        <w:t>autoryzowanym przez Enbio serwisie. Zaniechanie wykonania przeglądu w trakcie trwania</w:t>
      </w:r>
      <w:r>
        <w:rPr>
          <w:spacing w:val="1"/>
        </w:rPr>
        <w:t xml:space="preserve"> </w:t>
      </w:r>
      <w:r>
        <w:t>gwarancji będzie skutkowało utratą gwarancji na urządzenie. Lista autoryzowanych serwisów</w:t>
      </w:r>
      <w:r>
        <w:rPr>
          <w:spacing w:val="-47"/>
        </w:rPr>
        <w:t xml:space="preserve"> </w:t>
      </w:r>
      <w:r>
        <w:t>Enbio</w:t>
      </w:r>
      <w:r>
        <w:rPr>
          <w:spacing w:val="-3"/>
        </w:rPr>
        <w:t xml:space="preserve"> </w:t>
      </w:r>
      <w:r>
        <w:t>umieszczona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</w:t>
      </w:r>
      <w:r>
        <w:rPr>
          <w:spacing w:val="-1"/>
        </w:rPr>
        <w:t xml:space="preserve"> </w:t>
      </w:r>
      <w:hyperlink r:id="rId8">
        <w:r>
          <w:rPr>
            <w:u w:val="single"/>
          </w:rPr>
          <w:t>www.enbio.com</w:t>
        </w:r>
        <w:r>
          <w:rPr>
            <w:spacing w:val="-1"/>
          </w:rPr>
          <w:t xml:space="preserve"> </w:t>
        </w:r>
      </w:hyperlink>
      <w:r>
        <w:t>zakładka</w:t>
      </w:r>
      <w:r>
        <w:rPr>
          <w:spacing w:val="-1"/>
        </w:rPr>
        <w:t xml:space="preserve"> </w:t>
      </w:r>
      <w:r>
        <w:t>WSPARCIE.</w:t>
      </w:r>
    </w:p>
    <w:p w14:paraId="01602A79" w14:textId="77777777" w:rsidR="0051278A" w:rsidRDefault="16930B19">
      <w:pPr>
        <w:pStyle w:val="Akapitzlist"/>
        <w:numPr>
          <w:ilvl w:val="0"/>
          <w:numId w:val="1"/>
        </w:numPr>
        <w:tabs>
          <w:tab w:val="left" w:pos="1097"/>
        </w:tabs>
        <w:ind w:hanging="361"/>
        <w:rPr>
          <w:i/>
        </w:rPr>
      </w:pPr>
      <w:r w:rsidRPr="16930B19">
        <w:rPr>
          <w:i/>
          <w:iCs/>
        </w:rPr>
        <w:t>W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sprawach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nieuregulowanych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w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przepisach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gwarancyjnych,</w:t>
      </w:r>
      <w:r w:rsidRPr="16930B19">
        <w:rPr>
          <w:i/>
          <w:iCs/>
          <w:spacing w:val="-3"/>
        </w:rPr>
        <w:t xml:space="preserve"> </w:t>
      </w:r>
      <w:r w:rsidRPr="16930B19">
        <w:rPr>
          <w:i/>
          <w:iCs/>
        </w:rPr>
        <w:t>będą</w:t>
      </w:r>
      <w:r w:rsidRPr="16930B19">
        <w:rPr>
          <w:i/>
          <w:iCs/>
          <w:spacing w:val="-4"/>
        </w:rPr>
        <w:t xml:space="preserve"> </w:t>
      </w:r>
      <w:r w:rsidRPr="16930B19">
        <w:rPr>
          <w:i/>
          <w:iCs/>
        </w:rPr>
        <w:t>miały</w:t>
      </w:r>
      <w:r w:rsidRPr="16930B19">
        <w:rPr>
          <w:i/>
          <w:iCs/>
          <w:spacing w:val="-2"/>
        </w:rPr>
        <w:t xml:space="preserve"> </w:t>
      </w:r>
      <w:r w:rsidRPr="16930B19">
        <w:rPr>
          <w:i/>
          <w:iCs/>
        </w:rPr>
        <w:t>zastosowanie</w:t>
      </w:r>
    </w:p>
    <w:p w14:paraId="02379AF4" w14:textId="77777777" w:rsidR="0051278A" w:rsidRDefault="00AF0C63">
      <w:pPr>
        <w:pStyle w:val="Tekstpodstawowy"/>
      </w:pPr>
      <w:r>
        <w:t>przepisy</w:t>
      </w:r>
      <w:r>
        <w:rPr>
          <w:spacing w:val="-2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Kodeksu</w:t>
      </w:r>
      <w:r>
        <w:rPr>
          <w:spacing w:val="-5"/>
        </w:rPr>
        <w:t xml:space="preserve"> </w:t>
      </w:r>
      <w:r>
        <w:t>Cywilnego.</w:t>
      </w:r>
    </w:p>
    <w:p w14:paraId="0D0B940D" w14:textId="77777777" w:rsidR="0051278A" w:rsidRDefault="0051278A">
      <w:pPr>
        <w:pStyle w:val="Tekstpodstawowy"/>
        <w:ind w:left="0"/>
        <w:rPr>
          <w:sz w:val="20"/>
        </w:rPr>
      </w:pPr>
    </w:p>
    <w:p w14:paraId="0E27B00A" w14:textId="77777777" w:rsidR="0051278A" w:rsidRDefault="0051278A">
      <w:pPr>
        <w:pStyle w:val="Tekstpodstawowy"/>
        <w:ind w:left="0"/>
        <w:rPr>
          <w:sz w:val="20"/>
        </w:rPr>
      </w:pPr>
    </w:p>
    <w:p w14:paraId="60061E4C" w14:textId="77777777" w:rsidR="0051278A" w:rsidRDefault="0051278A">
      <w:pPr>
        <w:pStyle w:val="Tekstpodstawowy"/>
        <w:ind w:left="0"/>
        <w:rPr>
          <w:sz w:val="20"/>
        </w:rPr>
      </w:pPr>
    </w:p>
    <w:p w14:paraId="44EAFD9C" w14:textId="77777777" w:rsidR="0051278A" w:rsidRDefault="0051278A">
      <w:pPr>
        <w:pStyle w:val="Tekstpodstawowy"/>
        <w:ind w:left="0"/>
        <w:rPr>
          <w:sz w:val="20"/>
        </w:rPr>
      </w:pPr>
    </w:p>
    <w:p w14:paraId="4B94D5A5" w14:textId="77777777" w:rsidR="0051278A" w:rsidRDefault="0051278A">
      <w:pPr>
        <w:pStyle w:val="Tekstpodstawowy"/>
        <w:spacing w:before="6"/>
        <w:ind w:left="0"/>
        <w:rPr>
          <w:sz w:val="11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9"/>
        <w:gridCol w:w="3758"/>
      </w:tblGrid>
      <w:tr w:rsidR="0051278A" w14:paraId="099F0BE3" w14:textId="77777777">
        <w:trPr>
          <w:trHeight w:val="244"/>
        </w:trPr>
        <w:tc>
          <w:tcPr>
            <w:tcW w:w="3879" w:type="dxa"/>
          </w:tcPr>
          <w:p w14:paraId="5DB92270" w14:textId="77777777" w:rsidR="0051278A" w:rsidRDefault="00AF0C63">
            <w:pPr>
              <w:pStyle w:val="TableParagraph"/>
              <w:ind w:left="200"/>
              <w:rPr>
                <w:i/>
              </w:rPr>
            </w:pPr>
            <w:r>
              <w:rPr>
                <w:i/>
              </w:rPr>
              <w:t>Gdynia,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20.06.2022</w:t>
            </w:r>
          </w:p>
        </w:tc>
        <w:tc>
          <w:tcPr>
            <w:tcW w:w="3758" w:type="dxa"/>
          </w:tcPr>
          <w:p w14:paraId="4C0F9892" w14:textId="77777777" w:rsidR="0051278A" w:rsidRDefault="00AF0C63">
            <w:pPr>
              <w:pStyle w:val="TableParagraph"/>
              <w:ind w:left="1924" w:right="183"/>
              <w:jc w:val="center"/>
              <w:rPr>
                <w:i/>
              </w:rPr>
            </w:pPr>
            <w:r>
              <w:rPr>
                <w:i/>
              </w:rPr>
              <w:t>Marek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Krajczyński</w:t>
            </w:r>
          </w:p>
        </w:tc>
      </w:tr>
      <w:tr w:rsidR="0051278A" w14:paraId="1E4BC498" w14:textId="77777777">
        <w:trPr>
          <w:trHeight w:val="244"/>
        </w:trPr>
        <w:tc>
          <w:tcPr>
            <w:tcW w:w="3879" w:type="dxa"/>
          </w:tcPr>
          <w:p w14:paraId="3DEEC669" w14:textId="77777777" w:rsidR="0051278A" w:rsidRDefault="0051278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58" w:type="dxa"/>
          </w:tcPr>
          <w:p w14:paraId="25DECDF7" w14:textId="77777777" w:rsidR="0051278A" w:rsidRDefault="00AF0C63">
            <w:pPr>
              <w:pStyle w:val="TableParagraph"/>
              <w:ind w:left="1923" w:right="183"/>
              <w:jc w:val="center"/>
              <w:rPr>
                <w:i/>
              </w:rPr>
            </w:pPr>
            <w:r>
              <w:rPr>
                <w:i/>
              </w:rPr>
              <w:t>Prezes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Zarządu</w:t>
            </w:r>
          </w:p>
        </w:tc>
      </w:tr>
    </w:tbl>
    <w:p w14:paraId="6C9BF3FF" w14:textId="77777777" w:rsidR="00AF0C63" w:rsidRDefault="00AF0C63"/>
    <w:sectPr w:rsidR="00AF0C63">
      <w:pgSz w:w="11910" w:h="16840"/>
      <w:pgMar w:top="64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9DF7A"/>
    <w:multiLevelType w:val="multilevel"/>
    <w:tmpl w:val="4C2ECE2C"/>
    <w:lvl w:ilvl="0">
      <w:start w:val="1"/>
      <w:numFmt w:val="decimal"/>
      <w:lvlText w:val="%1."/>
      <w:lvlJc w:val="left"/>
      <w:pPr>
        <w:ind w:left="1096" w:hanging="360"/>
        <w:jc w:val="left"/>
      </w:pPr>
      <w:rPr>
        <w:rFonts w:ascii="Calibri" w:hAnsi="Calibri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16" w:hanging="48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4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7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2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11" w:hanging="480"/>
      </w:pPr>
      <w:rPr>
        <w:rFonts w:hint="default"/>
        <w:lang w:val="pl-PL" w:eastAsia="en-US" w:bidi="ar-SA"/>
      </w:rPr>
    </w:lvl>
  </w:abstractNum>
  <w:num w:numId="1" w16cid:durableId="178029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6930B19"/>
    <w:rsid w:val="0051278A"/>
    <w:rsid w:val="00AF0C63"/>
    <w:rsid w:val="00CD2CE8"/>
    <w:rsid w:val="1693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C5E8"/>
  <w15:docId w15:val="{260165A3-8B3C-4DAB-AEFB-F41D92DD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096"/>
    </w:pPr>
    <w:rPr>
      <w:i/>
      <w:iCs/>
    </w:rPr>
  </w:style>
  <w:style w:type="paragraph" w:styleId="Akapitzlist">
    <w:name w:val="List Paragraph"/>
    <w:basedOn w:val="Normalny"/>
    <w:uiPriority w:val="1"/>
    <w:qFormat/>
    <w:pPr>
      <w:ind w:left="109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b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b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bio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Rogowski</dc:creator>
  <cp:lastModifiedBy>Wojciech Gwizdała</cp:lastModifiedBy>
  <cp:revision>2</cp:revision>
  <dcterms:created xsi:type="dcterms:W3CDTF">2022-06-28T06:56:00Z</dcterms:created>
  <dcterms:modified xsi:type="dcterms:W3CDTF">2022-06-28T07:16:00Z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2022-06-28T00:00:00Z</vt:filetime>
  </property>
</Properties>
</file>